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"/>
        <w:jc w:val="center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NARVA LINNAVOLIKOGU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</w:p>
    <w:p>
      <w:pPr>
        <w:pStyle w:val="Рубрика 2"/>
        <w:ind w:left="0" w:firstLine="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OTSUS</w:t>
      </w:r>
    </w:p>
    <w:p>
      <w:pPr>
        <w:pStyle w:val="Рубрика"/>
      </w:pPr>
    </w:p>
    <w:p>
      <w:pPr>
        <w:pStyle w:val="Рубрика"/>
        <w:ind w:left="432" w:hanging="432"/>
      </w:pPr>
    </w:p>
    <w:p>
      <w:pPr>
        <w:pStyle w:val="Рубрика"/>
        <w:ind w:left="432" w:hanging="432"/>
        <w:rPr>
          <w:b w:val="1"/>
          <w:bCs w:val="1"/>
        </w:rPr>
      </w:pPr>
      <w:r>
        <w:rPr>
          <w:rtl w:val="0"/>
          <w:lang w:val="en-US"/>
        </w:rPr>
        <w:t>Narva linn</w:t>
        <w:tab/>
        <w:tab/>
        <w:tab/>
        <w:tab/>
        <w:tab/>
        <w:tab/>
        <w:tab/>
        <w:tab/>
        <w:t>________.202</w:t>
      </w:r>
      <w:r>
        <w:rPr>
          <w:rtl w:val="0"/>
          <w:lang w:val="ru-RU"/>
        </w:rPr>
        <w:t>4</w:t>
      </w:r>
      <w:r>
        <w:rPr>
          <w:rtl w:val="0"/>
          <w:lang w:val="en-US"/>
        </w:rPr>
        <w:t xml:space="preserve"> nr _____</w:t>
      </w:r>
    </w:p>
    <w:p>
      <w:pPr>
        <w:pStyle w:val="Основной текст A"/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</w:pPr>
    </w:p>
    <w:p>
      <w:pPr>
        <w:pStyle w:val="Основной текст A"/>
        <w:tabs>
          <w:tab w:val="left" w:pos="3420"/>
          <w:tab w:val="left" w:pos="360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3912"/>
      </w:pPr>
    </w:p>
    <w:p>
      <w:pPr>
        <w:pStyle w:val="Основной текст A"/>
        <w:ind w:right="4473"/>
      </w:pPr>
      <w:r>
        <w:rPr>
          <w:rtl w:val="0"/>
          <w:lang w:val="fr-FR"/>
        </w:rPr>
        <w:t xml:space="preserve">Narva Linnavolikogu 03.03.2011 otsusega nr 43 </w:t>
      </w:r>
      <w:r>
        <w:rPr>
          <w:rFonts w:ascii="Arial Unicode MS" w:hAnsi="Arial Unicode MS" w:hint="default"/>
          <w:b w:val="0"/>
          <w:bCs w:val="0"/>
          <w:rtl w:val="1"/>
          <w:lang w:val="ar-SA" w:bidi="ar-SA"/>
        </w:rPr>
        <w:t>“</w:t>
      </w:r>
      <w:r>
        <w:rPr>
          <w:rtl w:val="0"/>
          <w:lang w:val="fr-FR"/>
        </w:rPr>
        <w:t>V</w:t>
      </w:r>
      <w:r>
        <w:rPr>
          <w:rtl w:val="0"/>
          <w:lang w:val="pt-PT"/>
        </w:rPr>
        <w:t>õ</w:t>
      </w:r>
      <w:r>
        <w:rPr>
          <w:rtl w:val="0"/>
          <w:lang w:val="fr-FR"/>
        </w:rPr>
        <w:t>idu-Kerese tiigi ja selle l</w:t>
      </w:r>
      <w:r>
        <w:rPr>
          <w:rtl w:val="0"/>
          <w:lang w:val="fr-FR"/>
        </w:rPr>
        <w:t>ä</w:t>
      </w:r>
      <w:r>
        <w:rPr>
          <w:rtl w:val="0"/>
          <w:lang w:val="fr-FR"/>
        </w:rPr>
        <w:t>hiala detailplaneeringu kehtestamine</w:t>
      </w:r>
      <w:r>
        <w:rPr>
          <w:rtl w:val="0"/>
          <w:lang w:val="fr-FR"/>
        </w:rPr>
        <w:t xml:space="preserve">” </w:t>
      </w:r>
      <w:r>
        <w:rPr>
          <w:rtl w:val="0"/>
          <w:lang w:val="fr-FR"/>
        </w:rPr>
        <w:t>kehtestatud detailplaneeringu kehtetuks tunnistamine</w:t>
      </w:r>
    </w:p>
    <w:p>
      <w:pPr>
        <w:pStyle w:val="Основной текст A"/>
      </w:pPr>
    </w:p>
    <w:p>
      <w:pPr>
        <w:pStyle w:val="Основной текст A"/>
      </w:pPr>
    </w:p>
    <w:p>
      <w:pPr>
        <w:pStyle w:val="Подзаголовок A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Asjaolud ja menetluse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ä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ik</w:t>
      </w: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>Narva Linnavolikogu 03.03.2011 otsusega nr 43 kehtestati Sweco Projekt AS poolt koostatud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nl-NL"/>
        </w:rPr>
        <w:t>hiala detailplaneering (t</w:t>
      </w:r>
      <w:r>
        <w:rPr>
          <w:b w:val="0"/>
          <w:bCs w:val="0"/>
          <w:rtl w:val="0"/>
          <w:lang w:val="fr-FR"/>
        </w:rPr>
        <w:t xml:space="preserve">öö </w:t>
      </w:r>
      <w:r>
        <w:rPr>
          <w:b w:val="0"/>
          <w:bCs w:val="0"/>
          <w:rtl w:val="0"/>
          <w:lang w:val="fr-FR"/>
        </w:rPr>
        <w:t>nr 1473). Algatamise ettepaneku on esitanud Narva Linnavalitsuse Arhitektuuri- ja Linnaplaneerimise Amet. Planeeringuala asub Kerese linnaosas ning selle pindala on ca 2,2 ha.</w:t>
      </w: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>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en-US"/>
        </w:rPr>
        <w:t>hiala detailplaneeringuga on m</w:t>
      </w:r>
      <w:r>
        <w:rPr>
          <w:b w:val="0"/>
          <w:bCs w:val="0"/>
          <w:rtl w:val="0"/>
          <w:lang w:val="fr-FR"/>
        </w:rPr>
        <w:t>ää</w:t>
      </w:r>
      <w:r>
        <w:rPr>
          <w:b w:val="0"/>
          <w:bCs w:val="0"/>
          <w:rtl w:val="0"/>
          <w:lang w:val="nl-NL"/>
        </w:rPr>
        <w:t>ratud hoonestus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igus kuni 5-korruselise </w:t>
      </w:r>
      <w:r>
        <w:rPr>
          <w:b w:val="0"/>
          <w:bCs w:val="0"/>
          <w:rtl w:val="0"/>
          <w:lang w:val="fr-FR"/>
        </w:rPr>
        <w:t>ü</w:t>
      </w:r>
      <w:r>
        <w:rPr>
          <w:b w:val="0"/>
          <w:bCs w:val="0"/>
          <w:rtl w:val="0"/>
          <w:lang w:val="fr-FR"/>
        </w:rPr>
        <w:t>hiskondliku hoone, ehitusalune pindalaga kuni 3570 m</w:t>
      </w:r>
      <w:r>
        <w:rPr>
          <w:b w:val="0"/>
          <w:bCs w:val="0"/>
          <w:rtl w:val="0"/>
          <w:lang w:val="fr-FR"/>
        </w:rPr>
        <w:t>²</w:t>
      </w:r>
      <w:r>
        <w:rPr>
          <w:b w:val="0"/>
          <w:bCs w:val="0"/>
          <w:rtl w:val="0"/>
          <w:lang w:val="fr-FR"/>
        </w:rPr>
        <w:t>, ehitamiseks. Planeeringuga on lahendatud maa-ala liikluskorralduse (juurdep</w:t>
      </w:r>
      <w:r>
        <w:rPr>
          <w:b w:val="0"/>
          <w:bCs w:val="0"/>
          <w:rtl w:val="0"/>
          <w:lang w:val="fr-FR"/>
        </w:rPr>
        <w:t>ää</w:t>
      </w:r>
      <w:r>
        <w:rPr>
          <w:b w:val="0"/>
          <w:bCs w:val="0"/>
          <w:rtl w:val="0"/>
          <w:lang w:val="fr-FR"/>
        </w:rPr>
        <w:t>sud ja parkimine), heakorrastuse ja haljastuse k</w:t>
      </w:r>
      <w:r>
        <w:rPr>
          <w:b w:val="0"/>
          <w:bCs w:val="0"/>
          <w:rtl w:val="0"/>
          <w:lang w:val="fr-FR"/>
        </w:rPr>
        <w:t>ü</w:t>
      </w:r>
      <w:r>
        <w:rPr>
          <w:b w:val="0"/>
          <w:bCs w:val="0"/>
          <w:rtl w:val="0"/>
          <w:lang w:val="en-US"/>
        </w:rPr>
        <w:t>simused, m</w:t>
      </w:r>
      <w:r>
        <w:rPr>
          <w:b w:val="0"/>
          <w:bCs w:val="0"/>
          <w:rtl w:val="0"/>
          <w:lang w:val="fr-FR"/>
        </w:rPr>
        <w:t>ää</w:t>
      </w:r>
      <w:r>
        <w:rPr>
          <w:b w:val="0"/>
          <w:bCs w:val="0"/>
          <w:rtl w:val="0"/>
          <w:lang w:val="fr-FR"/>
        </w:rPr>
        <w:t>ratud tehnov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rkude asukohad. Krundi kavandatav t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isehitusprotsent on 18% ja haljastusprotsent 20%.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 xml:space="preserve">hiala detailplaneeringuga muudeti kehtivat Narva linna </w:t>
      </w:r>
      <w:r>
        <w:rPr>
          <w:b w:val="0"/>
          <w:bCs w:val="0"/>
          <w:rtl w:val="0"/>
          <w:lang w:val="fr-FR"/>
        </w:rPr>
        <w:t>ü</w:t>
      </w:r>
      <w:r>
        <w:rPr>
          <w:b w:val="0"/>
          <w:bCs w:val="0"/>
          <w:rtl w:val="0"/>
          <w:lang w:val="fr-FR"/>
        </w:rPr>
        <w:t>ldplaneeringut krundi maakasutuse sihtotstarbe osas.</w:t>
      </w: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it-IT"/>
        </w:rPr>
        <w:t xml:space="preserve">Planeerimisseadus (edaspidi PlanS)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124 lg 2 s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testab, et detailplaneeringud koostatakse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 xml:space="preserve">hiaastatel elluviimiseks. Vastavalt PlanS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140 lg 1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ib detailplaneeringu kehtetuks tunnistada kui detailplaneeringu kehtestamisest on m</w:t>
      </w:r>
      <w:r>
        <w:rPr>
          <w:b w:val="0"/>
          <w:bCs w:val="0"/>
          <w:rtl w:val="0"/>
          <w:lang w:val="fr-FR"/>
        </w:rPr>
        <w:t>öö</w:t>
      </w:r>
      <w:r>
        <w:rPr>
          <w:b w:val="0"/>
          <w:bCs w:val="0"/>
          <w:rtl w:val="0"/>
          <w:lang w:val="fr-FR"/>
        </w:rPr>
        <w:t>dunud v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hemalt viis aastat ja detailplaneeringut ei ole asutud ellu viima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 kui planeeringu koostamise korraldaja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 planeeritava kinnistu omanik soovib planeeringu elluviimisest loobuda. P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rast viie aasta m</w:t>
      </w:r>
      <w:r>
        <w:rPr>
          <w:b w:val="0"/>
          <w:bCs w:val="0"/>
          <w:rtl w:val="0"/>
          <w:lang w:val="fr-FR"/>
        </w:rPr>
        <w:t>öö</w:t>
      </w:r>
      <w:r>
        <w:rPr>
          <w:b w:val="0"/>
          <w:bCs w:val="0"/>
          <w:rtl w:val="0"/>
          <w:lang w:val="fr-FR"/>
        </w:rPr>
        <w:t>dumist on kohalikul omavalitsusel vajadusel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imalus kaaluda, kas detailplaneering on endiselt aja- ja asjakohane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 ei ole.</w:t>
      </w: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shd w:val="clear" w:color="auto" w:fill="ffffff"/>
        <w:spacing w:line="240" w:lineRule="auto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>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hiala detailplaneeringu kehtestamisest on m</w:t>
      </w:r>
      <w:r>
        <w:rPr>
          <w:b w:val="0"/>
          <w:bCs w:val="0"/>
          <w:rtl w:val="0"/>
          <w:lang w:val="fr-FR"/>
        </w:rPr>
        <w:t>öö</w:t>
      </w:r>
      <w:r>
        <w:rPr>
          <w:b w:val="0"/>
          <w:bCs w:val="0"/>
          <w:rtl w:val="0"/>
          <w:lang w:val="fr-FR"/>
        </w:rPr>
        <w:t xml:space="preserve">dunud </w:t>
      </w:r>
      <w:r>
        <w:rPr>
          <w:b w:val="0"/>
          <w:bCs w:val="0"/>
          <w:rtl w:val="0"/>
          <w:lang w:val="fr-FR"/>
        </w:rPr>
        <w:t>ü</w:t>
      </w:r>
      <w:r>
        <w:rPr>
          <w:b w:val="0"/>
          <w:bCs w:val="0"/>
          <w:rtl w:val="0"/>
          <w:lang w:val="fr-FR"/>
        </w:rPr>
        <w:t>le 12 aastat ning selle aja jooksul ei ole asutud selle lahendust ellu viima. Narva Linnavalitsuse Arhitektuuri- ja Linnaplaneerimise Amet, kui planeeringu koostamise korraldaja, on seisukohal, et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 xml:space="preserve">hiala detailplaneeringu lahendus ei ole asjakohane 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ning ei j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ä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rgi enam Narva linna arengusuunda sotsiaalsete ja </w:t>
      </w:r>
      <w:r>
        <w:rPr>
          <w:b w:val="0"/>
          <w:bCs w:val="0"/>
          <w:rtl w:val="0"/>
          <w:lang w:val="fr-FR"/>
        </w:rPr>
        <w:t>kultuuriliste vajaduste osas, kuna linnal pole rahalisi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imalusi ega vajadust ehitada sellises mahus uut </w:t>
      </w:r>
      <w:r>
        <w:rPr>
          <w:b w:val="0"/>
          <w:bCs w:val="0"/>
          <w:rtl w:val="0"/>
          <w:lang w:val="fr-FR"/>
        </w:rPr>
        <w:t>ü</w:t>
      </w:r>
      <w:r>
        <w:rPr>
          <w:b w:val="0"/>
          <w:bCs w:val="0"/>
          <w:rtl w:val="0"/>
          <w:lang w:val="fr-FR"/>
        </w:rPr>
        <w:t>hiskondlikku hoonet. Samuti takistab kehtiv planeering ala arendamist avaliku pargialana.</w:t>
      </w:r>
    </w:p>
    <w:p>
      <w:pPr>
        <w:pStyle w:val="Основной текст A"/>
        <w:shd w:val="clear" w:color="auto" w:fill="ffffff"/>
        <w:spacing w:line="240" w:lineRule="auto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 xml:space="preserve">Planeerimisseaduse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140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ike 3 kohaselt detailplaneeringu kehtetuks tunnistamise otsuse eeln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u esitatakse koosk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lastamiseks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127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ikes 1 nimetatud asutustele ja arvamuse andmiseks </w:t>
      </w:r>
      <w:r>
        <w:rPr>
          <w:b w:val="0"/>
          <w:bCs w:val="0"/>
          <w:rtl w:val="0"/>
          <w:lang w:val="fr-FR"/>
        </w:rPr>
        <w:t>§ </w:t>
      </w:r>
      <w:r>
        <w:rPr>
          <w:b w:val="0"/>
          <w:bCs w:val="0"/>
          <w:rtl w:val="0"/>
          <w:lang w:val="fr-FR"/>
        </w:rPr>
        <w:t>127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ikes 2 nimetatud isikutele ja asutustele. Kui arvamuse andja ei ole 30 p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eva jooksul detailplaneeringu kehtetuks tunnistamise otsuse eeln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u saamisest arvates koosk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lastamisest keeldunud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 arvamust avaldanud ega ole taotlenud t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htaja pikendamist, loetakse otsuse eeln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u koosk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lastaja poolt vaikimisi koosk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lastatuks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 eeldatakse, et arvamuse andja ei soovi selle kohta arvamust avaldada (PlanS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140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nl-NL"/>
        </w:rPr>
        <w:t xml:space="preserve">ige 4). </w:t>
      </w: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>Arhitektuuri- ja Linnaplaneerimise Amet edastas 01.11.2023 Linnamajandusametile linnavarakomisjoni istungil arutamiseks ja seisukohav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nl-NL"/>
        </w:rPr>
        <w:t>tuks eeln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u Narva Linnavolikogu 03.03.2011 otsusega nr 43 </w:t>
      </w:r>
      <w:r>
        <w:rPr>
          <w:rFonts w:ascii="Arial Unicode MS" w:hAnsi="Arial Unicode MS" w:hint="default"/>
          <w:b w:val="0"/>
          <w:bCs w:val="0"/>
          <w:rtl w:val="1"/>
          <w:lang w:val="ar-SA" w:bidi="ar-SA"/>
        </w:rPr>
        <w:t>“</w:t>
      </w:r>
      <w:r>
        <w:rPr>
          <w:b w:val="0"/>
          <w:bCs w:val="0"/>
          <w:rtl w:val="0"/>
          <w:lang w:val="fr-FR"/>
        </w:rPr>
        <w:t>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hiala detailplaneeringu kehtestamine</w:t>
      </w:r>
      <w:r>
        <w:rPr>
          <w:b w:val="0"/>
          <w:bCs w:val="0"/>
          <w:rtl w:val="0"/>
          <w:lang w:val="fr-FR"/>
        </w:rPr>
        <w:t xml:space="preserve">” </w:t>
      </w:r>
      <w:r>
        <w:rPr>
          <w:b w:val="0"/>
          <w:bCs w:val="0"/>
          <w:rtl w:val="0"/>
          <w:lang w:val="fr-FR"/>
        </w:rPr>
        <w:t xml:space="preserve">kehtestatud detailplaneeringu kehtetuks tunnistamisest. </w:t>
      </w:r>
      <w:r>
        <w:rPr>
          <w:b w:val="0"/>
          <w:bCs w:val="0"/>
          <w:rtl w:val="0"/>
          <w:lang w:val="en-US"/>
        </w:rPr>
        <w:t xml:space="preserve">30.01.2024 </w:t>
      </w:r>
      <w:r>
        <w:rPr>
          <w:b w:val="0"/>
          <w:bCs w:val="0"/>
          <w:rtl w:val="0"/>
          <w:lang w:val="fr-FR"/>
        </w:rPr>
        <w:t>kirjaga nr 5.1-7/996 teavitas Linnamajandusamet, et 19.01.2024 toimunud Narva Linnavalitsuse linnavarakomisjoni koosolekul (protokoll nr 5.3.1-6/1-2024) arutati Narva Linnavolikogu eeln</w:t>
      </w:r>
      <w:r>
        <w:rPr>
          <w:b w:val="0"/>
          <w:bCs w:val="0"/>
          <w:rtl w:val="0"/>
          <w:lang w:val="fr-FR"/>
        </w:rPr>
        <w:t>õ</w:t>
      </w:r>
      <w:r>
        <w:rPr>
          <w:b w:val="0"/>
          <w:bCs w:val="0"/>
          <w:rtl w:val="0"/>
          <w:lang w:val="fr-FR"/>
        </w:rPr>
        <w:t>u nind n</w:t>
      </w:r>
      <w:r>
        <w:rPr>
          <w:b w:val="0"/>
          <w:bCs w:val="0"/>
          <w:rtl w:val="0"/>
          <w:lang w:val="fr-FR"/>
        </w:rPr>
        <w:t>õ</w:t>
      </w:r>
      <w:r>
        <w:rPr>
          <w:b w:val="0"/>
          <w:bCs w:val="0"/>
          <w:rtl w:val="0"/>
          <w:lang w:val="fr-FR"/>
        </w:rPr>
        <w:t>ustuti kehtestatud detailplaneeringu kehtetuks tunnistamisega.</w:t>
      </w: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>Narva Linnavalitsuse Arhitektuuri- ja Linnaplaneerimise Amet edastas otsuse eeln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u .</w:t>
      </w:r>
      <w:r>
        <w:rPr>
          <w:b w:val="0"/>
          <w:bCs w:val="0"/>
          <w:rtl w:val="0"/>
          <w:lang w:val="fr-FR"/>
        </w:rPr>
        <w:t>…</w:t>
      </w:r>
      <w:r>
        <w:rPr>
          <w:b w:val="0"/>
          <w:bCs w:val="0"/>
          <w:rtl w:val="0"/>
          <w:lang w:val="fr-FR"/>
        </w:rPr>
        <w:t xml:space="preserve">02.2024 kirjaga nr </w:t>
      </w:r>
      <w:r>
        <w:rPr>
          <w:b w:val="0"/>
          <w:bCs w:val="0"/>
          <w:rtl w:val="0"/>
          <w:lang w:val="fr-FR"/>
        </w:rPr>
        <w:t xml:space="preserve">…… </w:t>
      </w:r>
      <w:r>
        <w:rPr>
          <w:b w:val="0"/>
          <w:bCs w:val="0"/>
          <w:rtl w:val="0"/>
          <w:lang w:val="fr-FR"/>
        </w:rPr>
        <w:t xml:space="preserve">ning kaasatavatele </w:t>
      </w:r>
      <w:r>
        <w:rPr>
          <w:b w:val="0"/>
          <w:bCs w:val="0"/>
          <w:rtl w:val="0"/>
          <w:lang w:val="fr-FR"/>
        </w:rPr>
        <w:t>…</w:t>
      </w:r>
      <w:r>
        <w:rPr>
          <w:b w:val="0"/>
          <w:bCs w:val="0"/>
          <w:rtl w:val="0"/>
          <w:lang w:val="fr-FR"/>
        </w:rPr>
        <w:t xml:space="preserve">.02.2024 kirjaga nr </w:t>
      </w:r>
      <w:r>
        <w:rPr>
          <w:b w:val="0"/>
          <w:bCs w:val="0"/>
          <w:rtl w:val="0"/>
          <w:lang w:val="fr-FR"/>
        </w:rPr>
        <w:t>…</w:t>
      </w:r>
      <w:r>
        <w:rPr>
          <w:b w:val="0"/>
          <w:bCs w:val="0"/>
          <w:rtl w:val="0"/>
          <w:lang w:val="sv-SE"/>
        </w:rPr>
        <w:t xml:space="preserve">... teatas oma </w:t>
      </w:r>
      <w:r>
        <w:rPr>
          <w:b w:val="0"/>
          <w:bCs w:val="0"/>
          <w:rtl w:val="0"/>
          <w:lang w:val="fr-FR"/>
        </w:rPr>
        <w:t>……</w:t>
      </w:r>
      <w:r>
        <w:rPr>
          <w:b w:val="0"/>
          <w:bCs w:val="0"/>
          <w:rtl w:val="0"/>
          <w:lang w:val="fr-FR"/>
        </w:rPr>
        <w:t xml:space="preserve">..2024 kirjaga nr </w:t>
      </w:r>
      <w:r>
        <w:rPr>
          <w:b w:val="0"/>
          <w:bCs w:val="0"/>
          <w:rtl w:val="0"/>
          <w:lang w:val="fr-FR"/>
        </w:rPr>
        <w:t>…</w:t>
      </w:r>
      <w:r>
        <w:rPr>
          <w:b w:val="0"/>
          <w:bCs w:val="0"/>
          <w:rtl w:val="0"/>
          <w:lang w:val="fr-FR"/>
        </w:rPr>
        <w:t>. seisukoha, et vastuv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ited puuduvad.</w:t>
      </w:r>
    </w:p>
    <w:p>
      <w:pPr>
        <w:pStyle w:val="No Spacing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 A"/>
        <w:shd w:val="clear" w:color="auto" w:fill="ffffff"/>
        <w:spacing w:line="240" w:lineRule="auto"/>
        <w:rPr>
          <w:b w:val="0"/>
          <w:bCs w:val="0"/>
          <w:outline w:val="0"/>
          <w:color w:val="000000"/>
          <w:u w:color="00000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0"/>
          <w:bCs w:val="0"/>
          <w:rtl w:val="0"/>
          <w:lang w:val="de-DE"/>
        </w:rPr>
        <w:t>Ü</w:t>
      </w:r>
      <w:r>
        <w:rPr>
          <w:b w:val="0"/>
          <w:bCs w:val="0"/>
          <w:rtl w:val="0"/>
          <w:lang w:val="en-US"/>
        </w:rPr>
        <w:t>laltoodud asjaoludest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 xml:space="preserve">htuvalt tunnistada Narva Linnavolikogu 03.03.2011 otsusega nr 43 </w:t>
      </w:r>
      <w:r>
        <w:rPr>
          <w:rFonts w:ascii="Arial Unicode MS" w:hAnsi="Arial Unicode MS" w:hint="default"/>
          <w:b w:val="0"/>
          <w:bCs w:val="0"/>
          <w:rtl w:val="1"/>
          <w:lang w:val="ar-SA" w:bidi="ar-SA"/>
        </w:rPr>
        <w:t>“</w:t>
      </w:r>
      <w:r>
        <w:rPr>
          <w:b w:val="0"/>
          <w:bCs w:val="0"/>
          <w:rtl w:val="0"/>
          <w:lang w:val="fr-FR"/>
        </w:rPr>
        <w:t>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hiala detailplaneeringu kehtestamine</w:t>
      </w:r>
      <w:r>
        <w:rPr>
          <w:b w:val="0"/>
          <w:bCs w:val="0"/>
          <w:rtl w:val="0"/>
          <w:lang w:val="fr-FR"/>
        </w:rPr>
        <w:t xml:space="preserve">” </w:t>
      </w:r>
      <w:r>
        <w:rPr>
          <w:b w:val="0"/>
          <w:bCs w:val="0"/>
          <w:rtl w:val="0"/>
          <w:lang w:val="fr-FR"/>
        </w:rPr>
        <w:t>kehtestatud detailplaneering kehtetuks.</w:t>
      </w: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Õ</w:t>
      </w:r>
      <w:r>
        <w:rPr>
          <w:rtl w:val="0"/>
          <w:lang w:val="fr-FR"/>
        </w:rPr>
        <w:t>iguslikud alused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b w:val="0"/>
          <w:bCs w:val="0"/>
          <w:rtl w:val="0"/>
          <w:lang w:val="fr-FR"/>
        </w:rPr>
      </w:pPr>
      <w:r>
        <w:rPr>
          <w:b w:val="0"/>
          <w:bCs w:val="0"/>
          <w:rtl w:val="0"/>
          <w:lang w:val="fr-FR"/>
        </w:rPr>
        <w:t xml:space="preserve">Planeerimisseaduse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140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ike 1 punktide 1 ja 2 kohaselt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ib detailplaneeringu kehtetuks tunnistada, kui detailplaneeringu kehtestamisest on m</w:t>
      </w:r>
      <w:r>
        <w:rPr>
          <w:b w:val="0"/>
          <w:bCs w:val="0"/>
          <w:rtl w:val="0"/>
          <w:lang w:val="fr-FR"/>
        </w:rPr>
        <w:t>öö</w:t>
      </w:r>
      <w:r>
        <w:rPr>
          <w:b w:val="0"/>
          <w:bCs w:val="0"/>
          <w:rtl w:val="0"/>
          <w:lang w:val="fr-FR"/>
        </w:rPr>
        <w:t>dunud v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hemalt viis aastat ja detailplaneeringut ei ole asutud ellu viima ning kui planeeringu koostamise korraldaja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 planeeritava kinnistu omanik soovib planeeringu elluviimisest loobuda.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b w:val="0"/>
          <w:bCs w:val="0"/>
          <w:rtl w:val="0"/>
          <w:lang w:val="fr-FR"/>
        </w:rPr>
      </w:pPr>
      <w:r>
        <w:rPr>
          <w:b w:val="0"/>
          <w:bCs w:val="0"/>
          <w:rtl w:val="0"/>
          <w:lang w:val="fr-FR"/>
        </w:rPr>
        <w:t xml:space="preserve">Planeerimisseaduse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140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ike 6 kohaselt </w:t>
      </w:r>
      <w:r>
        <w:rPr>
          <w:b w:val="0"/>
          <w:bCs w:val="0"/>
          <w:outline w:val="0"/>
          <w:color w:val="202020"/>
          <w:u w:color="202020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>tunnistab</w:t>
      </w:r>
      <w:r>
        <w:rPr>
          <w:b w:val="0"/>
          <w:bCs w:val="0"/>
          <w:outline w:val="0"/>
          <w:color w:val="202020"/>
          <w:u w:color="202020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> </w:t>
      </w:r>
      <w:r>
        <w:rPr>
          <w:b w:val="0"/>
          <w:bCs w:val="0"/>
          <w:rtl w:val="0"/>
          <w:lang w:val="nl-NL"/>
        </w:rPr>
        <w:t xml:space="preserve">detailplaneeringu </w:t>
      </w:r>
      <w:r>
        <w:rPr>
          <w:b w:val="0"/>
          <w:bCs w:val="0"/>
          <w:outline w:val="0"/>
          <w:color w:val="202020"/>
          <w:u w:color="202020"/>
          <w:shd w:val="clear" w:color="auto" w:fill="ffffff"/>
          <w:rtl w:val="0"/>
          <w:lang w:val="fr-FR"/>
          <w14:textFill>
            <w14:solidFill>
              <w14:srgbClr w14:val="202020"/>
            </w14:solidFill>
          </w14:textFill>
        </w:rPr>
        <w:t>kehtetuks kohaliku omavalitsuse volikogu.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b w:val="0"/>
          <w:bCs w:val="0"/>
          <w:rtl w:val="0"/>
          <w:lang w:val="fr-FR"/>
        </w:rPr>
      </w:pPr>
      <w:r>
        <w:rPr>
          <w:b w:val="0"/>
          <w:bCs w:val="0"/>
          <w:rtl w:val="0"/>
          <w:lang w:val="fr-FR"/>
        </w:rPr>
        <w:t xml:space="preserve">Kohaliku omavalitsuse korralduse seaduse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22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 xml:space="preserve">ike 1 punkti 33 kohaselt kuulub detailplaneeringu kehtetuks tunnistamine ja planeerimisseaduse </w:t>
      </w:r>
      <w:r>
        <w:rPr>
          <w:b w:val="0"/>
          <w:bCs w:val="0"/>
          <w:rtl w:val="0"/>
          <w:lang w:val="fr-FR"/>
        </w:rPr>
        <w:t xml:space="preserve">§ </w:t>
      </w:r>
      <w:r>
        <w:rPr>
          <w:b w:val="0"/>
          <w:bCs w:val="0"/>
          <w:rtl w:val="0"/>
          <w:lang w:val="fr-FR"/>
        </w:rPr>
        <w:t>130 l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ikes 2 nimetatud detailplaneeringu kehtestamine volikogu ainup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devusse.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tl w:val="0"/>
          <w:lang w:val="es-ES_tradnl"/>
        </w:rPr>
      </w:pPr>
      <w:r>
        <w:rPr>
          <w:rtl w:val="0"/>
          <w:lang w:val="es-ES_tradnl"/>
        </w:rPr>
        <w:t>Otsus</w:t>
      </w:r>
    </w:p>
    <w:p>
      <w:pPr>
        <w:pStyle w:val="Основной текст A"/>
        <w:rPr>
          <w:b w:val="0"/>
          <w:bCs w:val="0"/>
        </w:rPr>
      </w:pPr>
      <w:r>
        <w:rPr>
          <w:b w:val="0"/>
          <w:bCs w:val="0"/>
          <w:rtl w:val="0"/>
          <w:lang w:val="fr-FR"/>
        </w:rPr>
        <w:t xml:space="preserve">Tunnistada kehtetuks Narva Linnavolikogu 03.03.2011 otsusega nr 43 </w:t>
      </w:r>
      <w:r>
        <w:rPr>
          <w:rFonts w:ascii="Arial Unicode MS" w:hAnsi="Arial Unicode MS" w:hint="default"/>
          <w:b w:val="0"/>
          <w:bCs w:val="0"/>
          <w:rtl w:val="1"/>
          <w:lang w:val="ar-SA" w:bidi="ar-SA"/>
        </w:rPr>
        <w:t>“</w:t>
      </w:r>
      <w:r>
        <w:rPr>
          <w:b w:val="0"/>
          <w:bCs w:val="0"/>
          <w:rtl w:val="0"/>
          <w:lang w:val="fr-FR"/>
        </w:rPr>
        <w:t>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idu-Kerese tiigi ja selle l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fr-FR"/>
        </w:rPr>
        <w:t>hiala detailplaneeringu kehtestamine</w:t>
      </w:r>
      <w:r>
        <w:rPr>
          <w:b w:val="0"/>
          <w:bCs w:val="0"/>
          <w:rtl w:val="0"/>
          <w:lang w:val="fr-FR"/>
        </w:rPr>
        <w:t xml:space="preserve">” </w:t>
      </w:r>
      <w:r>
        <w:rPr>
          <w:b w:val="0"/>
          <w:bCs w:val="0"/>
          <w:rtl w:val="0"/>
          <w:lang w:val="en-US"/>
        </w:rPr>
        <w:t>kehtestatud detailplaneering.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hanging="426"/>
        <w:rPr>
          <w:b w:val="0"/>
          <w:bCs w:val="0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Rakenduss</w:t>
      </w:r>
      <w:r>
        <w:rPr>
          <w:rtl w:val="0"/>
          <w:lang w:val="fr-FR"/>
        </w:rPr>
        <w:t>ä</w:t>
      </w:r>
      <w:r>
        <w:rPr>
          <w:rtl w:val="0"/>
          <w:lang w:val="en-US"/>
        </w:rPr>
        <w:t>tted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b w:val="0"/>
          <w:bCs w:val="0"/>
          <w:rtl w:val="0"/>
          <w:lang w:val="fr-FR"/>
        </w:rPr>
        <w:t>Narva Linnavalitsuse Arhitektuuri- ja Linnaplaneerimise Ametil avaldada otsus ajalehes, milles Narva linn avaldab ametlikke teateid ning linna ja ameti veebilehel.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b w:val="0"/>
          <w:bCs w:val="0"/>
          <w:rtl w:val="0"/>
          <w:lang w:val="fr-FR"/>
        </w:rPr>
        <w:t>K</w:t>
      </w:r>
      <w:r>
        <w:rPr>
          <w:b w:val="0"/>
          <w:bCs w:val="0"/>
          <w:rtl w:val="0"/>
          <w:lang w:val="fr-FR"/>
        </w:rPr>
        <w:t>ä</w:t>
      </w:r>
      <w:r>
        <w:rPr>
          <w:b w:val="0"/>
          <w:bCs w:val="0"/>
          <w:rtl w:val="0"/>
          <w:lang w:val="da-DK"/>
        </w:rPr>
        <w:t>esolev otsus j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  <w:lang w:val="fr-FR"/>
        </w:rPr>
        <w:t>ustub teatavakstegemisest.</w:t>
      </w:r>
    </w:p>
    <w:p>
      <w:pPr>
        <w:pStyle w:val="Основной текст A"/>
        <w:numPr>
          <w:ilvl w:val="1"/>
          <w:numId w:val="2"/>
        </w:numPr>
        <w:bidi w:val="0"/>
        <w:ind w:right="0"/>
        <w:jc w:val="both"/>
        <w:rPr>
          <w:rtl w:val="0"/>
          <w:lang w:val="fr-FR"/>
        </w:rPr>
      </w:pP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K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ä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esolevat otsust on v</w:t>
      </w:r>
      <w:r>
        <w:rPr>
          <w:b w:val="0"/>
          <w:bC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imalik vaidlustada 30 p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ä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eva jooksul teatavakstegemisest, esitades vaide Narva Linnavolikogule haldusmenetluse seaduses s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ä</w:t>
      </w:r>
      <w:r>
        <w:rPr>
          <w:b w:val="0"/>
          <w:bCs w:val="0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testatud korras v</w:t>
      </w:r>
      <w:r>
        <w:rPr>
          <w:b w:val="0"/>
          <w:bCs w:val="0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 kaebuse halduskohtule halduskohtumenetluse seadustikus s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ä</w:t>
      </w:r>
      <w:r>
        <w:rPr>
          <w:b w:val="0"/>
          <w:bCs w:val="0"/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testatud korras.</w:t>
      </w: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rPr>
          <w:b w:val="0"/>
          <w:bCs w:val="0"/>
        </w:rPr>
      </w:pP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 w:val="0"/>
          <w:bCs w:val="0"/>
        </w:rPr>
      </w:pPr>
      <w:r>
        <w:rPr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Irina Janovit</w:t>
      </w:r>
      <w:r>
        <w:rPr>
          <w:outline w:val="0"/>
          <w:color w:val="333333"/>
          <w:u w:color="333333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š</w:t>
      </w:r>
    </w:p>
    <w:p>
      <w:pPr>
        <w:pStyle w:val="Основной текст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 w:val="0"/>
          <w:bCs w:val="0"/>
          <w:rtl w:val="0"/>
          <w:lang w:val="fr-FR"/>
        </w:rPr>
        <w:t>Linnavolikogu esimees</w:t>
      </w:r>
    </w:p>
    <w:sectPr>
      <w:headerReference w:type="default" r:id="rId4"/>
      <w:footerReference w:type="default" r:id="rId5"/>
      <w:pgSz w:w="11900" w:h="16840" w:orient="portrait"/>
      <w:pgMar w:top="1440" w:right="987" w:bottom="1078" w:left="162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Montserrat Light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273"/>
        <w:tab w:val="clear" w:pos="9355"/>
      </w:tabs>
      <w:jc w:val="right"/>
    </w:pPr>
    <w:r>
      <w:rPr>
        <w:sz w:val="18"/>
        <w:szCs w:val="18"/>
      </w:rPr>
      <w:fldChar w:fldCharType="begin" w:fldLock="0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 w:fldLock="0"/>
    </w:r>
    <w:r>
      <w:rPr>
        <w:sz w:val="18"/>
        <w:szCs w:val="18"/>
      </w:rPr>
    </w:r>
    <w:r>
      <w:rPr>
        <w:sz w:val="18"/>
        <w:szCs w:val="18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Основной текст A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right"/>
    </w:pPr>
    <w:r>
      <w:rPr>
        <w:rFonts w:ascii="Montserrat Light" w:cs="Montserrat Light" w:hAnsi="Montserrat Light" w:eastAsia="Montserrat Light"/>
        <w:outline w:val="0"/>
        <w:color w:val="808080"/>
        <w:sz w:val="18"/>
        <w:szCs w:val="18"/>
        <w:u w:color="808080"/>
        <w:rtl w:val="0"/>
        <w:lang w:val="fr-FR"/>
        <w14:textFill>
          <w14:solidFill>
            <w14:srgbClr w14:val="808080"/>
          </w14:solidFill>
        </w14:textFill>
      </w:rPr>
      <w:t>EELN</w:t>
    </w:r>
    <w:r>
      <w:rPr>
        <w:rFonts w:ascii="Montserrat Light" w:cs="Montserrat Light" w:hAnsi="Montserrat Light" w:eastAsia="Montserrat Light"/>
        <w:outline w:val="0"/>
        <w:color w:val="808080"/>
        <w:sz w:val="18"/>
        <w:szCs w:val="18"/>
        <w:u w:color="808080"/>
        <w:rtl w:val="0"/>
        <w:lang w:val="en-US"/>
        <w14:textFill>
          <w14:solidFill>
            <w14:srgbClr w14:val="808080"/>
          </w14:solidFill>
        </w14:textFill>
      </w:rPr>
      <w:t>Õ</w:t>
    </w:r>
    <w:r>
      <w:rPr>
        <w:rFonts w:ascii="Montserrat Light" w:cs="Montserrat Light" w:hAnsi="Montserrat Light" w:eastAsia="Montserrat Light"/>
        <w:outline w:val="0"/>
        <w:color w:val="808080"/>
        <w:sz w:val="18"/>
        <w:szCs w:val="18"/>
        <w:u w:color="808080"/>
        <w:rtl w:val="0"/>
        <w:lang w:val="fr-FR"/>
        <w14:textFill>
          <w14:solidFill>
            <w14:srgbClr w14:val="808080"/>
          </w14:solidFill>
        </w14:textFill>
      </w:rPr>
      <w:t>U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2"/>
  </w:abstractNum>
  <w:abstractNum w:abstractNumId="1">
    <w:multiLevelType w:val="hybridMultilevel"/>
    <w:styleLink w:val="Импортированный стиль 2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43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47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83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19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55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91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27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2634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Рубрика">
    <w:name w:val="Рубрика"/>
    <w:next w:val="Основно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Рубрика 2">
    <w:name w:val="Рубрика 2"/>
    <w:next w:val="Основной текст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2160" w:right="0" w:firstLine="0"/>
      <w:jc w:val="both"/>
      <w:outlineLvl w:val="1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Подзаголовок A">
    <w:name w:val="Подзаголовок A"/>
    <w:next w:val="Подзаголовок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1"/>
      </w:numPr>
    </w:p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tLeast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